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4F669F72"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Finance major. The goals are listed, in brief on the worksheet however they should be reviewed in detail at: </w:t>
      </w:r>
      <w:hyperlink r:id="rId5" w:history="1">
        <w:r w:rsidRPr="00803749">
          <w:rPr>
            <w:rStyle w:val="Hyperlink"/>
            <w:rFonts w:ascii="Calibri" w:eastAsia="Calibri" w:hAnsi="Calibri" w:cs="Times New Roman"/>
            <w:sz w:val="24"/>
            <w:szCs w:val="24"/>
          </w:rPr>
          <w:t>http://cbaweb.sdsu.edu/assets/files/assessment/goals/2012/BSBA-Finance.pdf</w:t>
        </w:r>
      </w:hyperlink>
      <w:r w:rsidRPr="00803749">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17B291A9" w:rsidR="00FC7F1D" w:rsidRPr="0047024F" w:rsidRDefault="00FC7F1D" w:rsidP="0047024F">
      <w:pPr>
        <w:numPr>
          <w:ilvl w:val="1"/>
          <w:numId w:val="1"/>
        </w:numPr>
        <w:spacing w:after="0"/>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0047024F" w:rsidRPr="0047024F">
        <w:rPr>
          <w:rFonts w:ascii="Calibri" w:eastAsia="Calibri" w:hAnsi="Calibri" w:cs="Times New Roman"/>
          <w:i/>
          <w:sz w:val="24"/>
          <w:szCs w:val="24"/>
        </w:rPr>
        <w:t>An SLO that is part of a course is not necessarily the primary focus of the course. For example, “</w:t>
      </w:r>
      <w:r w:rsidR="0047024F" w:rsidRPr="0047024F">
        <w:rPr>
          <w:rFonts w:ascii="Calibri" w:eastAsia="Calibri" w:hAnsi="Calibri" w:cs="Times New Roman"/>
          <w:i/>
          <w:sz w:val="24"/>
          <w:szCs w:val="24"/>
          <w:u w:val="single"/>
        </w:rPr>
        <w:t>Describe global capital markets</w:t>
      </w:r>
      <w:r w:rsidR="0047024F" w:rsidRPr="0047024F">
        <w:rPr>
          <w:rFonts w:ascii="Calibri" w:eastAsia="Calibri" w:hAnsi="Calibri" w:cs="Times New Roman"/>
          <w:i/>
          <w:sz w:val="24"/>
          <w:szCs w:val="24"/>
        </w:rPr>
        <w:t>.” is probably a primary focus of FIN 329 (International Business Finance). That same SLO might be addressed in FIN 323 (Fundamentals of Finance) but is not a primary focus of that</w:t>
      </w:r>
      <w:r w:rsidR="0047024F">
        <w:rPr>
          <w:rFonts w:ascii="Calibri" w:eastAsia="Calibri" w:hAnsi="Calibri" w:cs="Times New Roman"/>
          <w:i/>
          <w:sz w:val="24"/>
          <w:szCs w:val="24"/>
        </w:rPr>
        <w:t xml:space="preserve"> course.</w:t>
      </w:r>
    </w:p>
    <w:p w14:paraId="4A5E8A17" w14:textId="77777777" w:rsidR="00FC7F1D" w:rsidRPr="00803749" w:rsidRDefault="00FC7F1D" w:rsidP="0047024F">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2C34F6C2"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5ECCC39C" w:rsidR="00FC7F1D" w:rsidRPr="00803749" w:rsidRDefault="00803749" w:rsidP="00803749">
      <w:pPr>
        <w:spacing w:after="0" w:line="240" w:lineRule="auto"/>
        <w:jc w:val="center"/>
        <w:rPr>
          <w:b/>
          <w:sz w:val="48"/>
          <w:szCs w:val="48"/>
        </w:rPr>
      </w:pPr>
      <w:r w:rsidRPr="00803749">
        <w:rPr>
          <w:b/>
          <w:sz w:val="48"/>
          <w:szCs w:val="48"/>
        </w:rPr>
        <w:t xml:space="preserve">Finance </w:t>
      </w:r>
      <w:bookmarkStart w:id="0" w:name="_GoBack"/>
      <w:bookmarkEnd w:id="0"/>
      <w:r w:rsidRPr="00803749">
        <w:rPr>
          <w:b/>
          <w:sz w:val="48"/>
          <w:szCs w:val="48"/>
        </w:rPr>
        <w:t>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732"/>
        <w:tblW w:w="10548" w:type="dxa"/>
        <w:tblLook w:val="04A0" w:firstRow="1" w:lastRow="0" w:firstColumn="1" w:lastColumn="0" w:noHBand="0" w:noVBand="1"/>
      </w:tblPr>
      <w:tblGrid>
        <w:gridCol w:w="8478"/>
        <w:gridCol w:w="1001"/>
        <w:gridCol w:w="1069"/>
      </w:tblGrid>
      <w:tr w:rsidR="00803749" w:rsidRPr="00C67E5D" w14:paraId="693D1234" w14:textId="77777777" w:rsidTr="00803749">
        <w:trPr>
          <w:trHeight w:val="527"/>
        </w:trPr>
        <w:tc>
          <w:tcPr>
            <w:tcW w:w="8478" w:type="dxa"/>
            <w:noWrap/>
          </w:tcPr>
          <w:p w14:paraId="666DE549" w14:textId="608A403B" w:rsidR="00803749" w:rsidRPr="00803749" w:rsidRDefault="00803749" w:rsidP="00803749">
            <w:pPr>
              <w:rPr>
                <w:b/>
                <w:bCs/>
                <w:sz w:val="40"/>
                <w:szCs w:val="40"/>
              </w:rPr>
            </w:pPr>
            <w:r w:rsidRPr="00803749">
              <w:rPr>
                <w:b/>
                <w:bCs/>
                <w:sz w:val="40"/>
                <w:szCs w:val="40"/>
              </w:rPr>
              <w:t>Course:</w:t>
            </w:r>
          </w:p>
        </w:tc>
        <w:tc>
          <w:tcPr>
            <w:tcW w:w="2070" w:type="dxa"/>
            <w:gridSpan w:val="2"/>
            <w:noWrap/>
          </w:tcPr>
          <w:p w14:paraId="21020660" w14:textId="77777777" w:rsidR="00803749" w:rsidRPr="006656AE" w:rsidRDefault="00803749" w:rsidP="00803749">
            <w:pPr>
              <w:jc w:val="center"/>
              <w:rPr>
                <w:b/>
                <w:sz w:val="24"/>
                <w:szCs w:val="24"/>
              </w:rPr>
            </w:pPr>
          </w:p>
        </w:tc>
      </w:tr>
      <w:tr w:rsidR="00803749" w:rsidRPr="00C67E5D" w14:paraId="784CABAC" w14:textId="77777777" w:rsidTr="00803749">
        <w:trPr>
          <w:trHeight w:val="620"/>
        </w:trPr>
        <w:tc>
          <w:tcPr>
            <w:tcW w:w="8478" w:type="dxa"/>
            <w:noWrap/>
          </w:tcPr>
          <w:p w14:paraId="66F0340C" w14:textId="194EC82D" w:rsidR="00803749" w:rsidRPr="003717AC" w:rsidRDefault="00803749" w:rsidP="00803749">
            <w:pPr>
              <w:rPr>
                <w:b/>
                <w:bCs/>
                <w:sz w:val="40"/>
                <w:szCs w:val="40"/>
              </w:rPr>
            </w:pPr>
            <w:r>
              <w:rPr>
                <w:b/>
                <w:bCs/>
                <w:sz w:val="40"/>
                <w:szCs w:val="40"/>
              </w:rPr>
              <w:t>Finance Major Degree</w:t>
            </w:r>
            <w:r w:rsidRPr="003717AC">
              <w:rPr>
                <w:b/>
                <w:bCs/>
                <w:sz w:val="40"/>
                <w:szCs w:val="40"/>
              </w:rPr>
              <w:t xml:space="preserve"> Learning Outcomes</w:t>
            </w:r>
          </w:p>
        </w:tc>
        <w:tc>
          <w:tcPr>
            <w:tcW w:w="1001" w:type="dxa"/>
            <w:noWrap/>
          </w:tcPr>
          <w:p w14:paraId="2809A46D" w14:textId="77777777" w:rsidR="00803749" w:rsidRPr="006656AE" w:rsidRDefault="00803749" w:rsidP="00803749">
            <w:pPr>
              <w:jc w:val="center"/>
              <w:rPr>
                <w:b/>
                <w:sz w:val="24"/>
                <w:szCs w:val="24"/>
              </w:rPr>
            </w:pPr>
            <w:r w:rsidRPr="006656AE">
              <w:rPr>
                <w:b/>
                <w:sz w:val="24"/>
                <w:szCs w:val="24"/>
              </w:rPr>
              <w:t>Primary</w:t>
            </w:r>
          </w:p>
          <w:p w14:paraId="14F5AAF0" w14:textId="77777777" w:rsidR="00803749" w:rsidRPr="006656AE" w:rsidRDefault="00803749" w:rsidP="00803749">
            <w:pPr>
              <w:jc w:val="center"/>
              <w:rPr>
                <w:sz w:val="24"/>
                <w:szCs w:val="24"/>
              </w:rPr>
            </w:pPr>
            <w:r w:rsidRPr="006656AE">
              <w:rPr>
                <w:b/>
                <w:sz w:val="24"/>
                <w:szCs w:val="24"/>
              </w:rPr>
              <w:t>Focus?</w:t>
            </w:r>
          </w:p>
        </w:tc>
        <w:tc>
          <w:tcPr>
            <w:tcW w:w="1069" w:type="dxa"/>
          </w:tcPr>
          <w:p w14:paraId="2FAB7BA6" w14:textId="77777777" w:rsidR="00803749" w:rsidRPr="000A4F82" w:rsidRDefault="00803749" w:rsidP="00803749">
            <w:pPr>
              <w:jc w:val="center"/>
              <w:rPr>
                <w:b/>
                <w:sz w:val="24"/>
                <w:szCs w:val="24"/>
              </w:rPr>
            </w:pPr>
            <w:r w:rsidRPr="000A4F82">
              <w:rPr>
                <w:b/>
                <w:sz w:val="24"/>
                <w:szCs w:val="24"/>
              </w:rPr>
              <w:t>I, R, AI, AG?</w:t>
            </w:r>
          </w:p>
        </w:tc>
      </w:tr>
      <w:tr w:rsidR="00803749" w:rsidRPr="00C67E5D" w14:paraId="3DB7D533" w14:textId="77777777" w:rsidTr="00803749">
        <w:trPr>
          <w:trHeight w:val="350"/>
        </w:trPr>
        <w:tc>
          <w:tcPr>
            <w:tcW w:w="8478" w:type="dxa"/>
            <w:noWrap/>
          </w:tcPr>
          <w:p w14:paraId="3062E3BD" w14:textId="77777777" w:rsidR="00803749" w:rsidRPr="003717AC" w:rsidRDefault="00803749" w:rsidP="00803749">
            <w:pPr>
              <w:rPr>
                <w:bCs/>
                <w:sz w:val="36"/>
                <w:szCs w:val="36"/>
              </w:rPr>
            </w:pPr>
            <w:r w:rsidRPr="003717AC">
              <w:rPr>
                <w:bCs/>
                <w:sz w:val="36"/>
                <w:szCs w:val="36"/>
              </w:rPr>
              <w:t>Create and interpret financial statements.</w:t>
            </w:r>
          </w:p>
        </w:tc>
        <w:tc>
          <w:tcPr>
            <w:tcW w:w="1001" w:type="dxa"/>
            <w:noWrap/>
            <w:hideMark/>
          </w:tcPr>
          <w:p w14:paraId="5CC7A60C" w14:textId="77777777" w:rsidR="00803749" w:rsidRPr="00B60636" w:rsidRDefault="00803749" w:rsidP="00803749">
            <w:pPr>
              <w:jc w:val="center"/>
            </w:pPr>
          </w:p>
        </w:tc>
        <w:tc>
          <w:tcPr>
            <w:tcW w:w="1069" w:type="dxa"/>
          </w:tcPr>
          <w:p w14:paraId="7239F2C6" w14:textId="77777777" w:rsidR="00803749" w:rsidRPr="00B60636" w:rsidRDefault="00803749" w:rsidP="00803749">
            <w:pPr>
              <w:jc w:val="center"/>
            </w:pPr>
          </w:p>
        </w:tc>
      </w:tr>
      <w:tr w:rsidR="00803749" w:rsidRPr="00C67E5D" w14:paraId="2B5DA98D" w14:textId="77777777" w:rsidTr="00803749">
        <w:trPr>
          <w:trHeight w:val="350"/>
        </w:trPr>
        <w:tc>
          <w:tcPr>
            <w:tcW w:w="8478" w:type="dxa"/>
            <w:noWrap/>
          </w:tcPr>
          <w:p w14:paraId="507AE5A9" w14:textId="77777777" w:rsidR="00803749" w:rsidRPr="003717AC" w:rsidRDefault="00803749" w:rsidP="00803749">
            <w:pPr>
              <w:rPr>
                <w:iCs/>
                <w:sz w:val="36"/>
                <w:szCs w:val="36"/>
              </w:rPr>
            </w:pPr>
            <w:r w:rsidRPr="003717AC">
              <w:rPr>
                <w:iCs/>
                <w:sz w:val="36"/>
                <w:szCs w:val="36"/>
              </w:rPr>
              <w:t>Create and interpret cash flow statements.</w:t>
            </w:r>
          </w:p>
        </w:tc>
        <w:tc>
          <w:tcPr>
            <w:tcW w:w="1001" w:type="dxa"/>
            <w:noWrap/>
            <w:hideMark/>
          </w:tcPr>
          <w:p w14:paraId="15C95FF6" w14:textId="77777777" w:rsidR="00803749" w:rsidRPr="00B60636" w:rsidRDefault="00803749" w:rsidP="00803749">
            <w:pPr>
              <w:jc w:val="center"/>
            </w:pPr>
          </w:p>
        </w:tc>
        <w:tc>
          <w:tcPr>
            <w:tcW w:w="1069" w:type="dxa"/>
          </w:tcPr>
          <w:p w14:paraId="6973127E" w14:textId="77777777" w:rsidR="00803749" w:rsidRPr="00B60636" w:rsidRDefault="00803749" w:rsidP="00803749">
            <w:pPr>
              <w:jc w:val="center"/>
            </w:pPr>
          </w:p>
        </w:tc>
      </w:tr>
      <w:tr w:rsidR="00803749" w:rsidRPr="00C67E5D" w14:paraId="4E8136EA" w14:textId="77777777" w:rsidTr="00803749">
        <w:trPr>
          <w:trHeight w:val="305"/>
        </w:trPr>
        <w:tc>
          <w:tcPr>
            <w:tcW w:w="8478" w:type="dxa"/>
            <w:noWrap/>
          </w:tcPr>
          <w:p w14:paraId="433E45C3" w14:textId="77777777" w:rsidR="00803749" w:rsidRPr="003717AC" w:rsidRDefault="00803749" w:rsidP="00803749">
            <w:pPr>
              <w:rPr>
                <w:bCs/>
                <w:iCs/>
                <w:sz w:val="36"/>
                <w:szCs w:val="36"/>
              </w:rPr>
            </w:pPr>
            <w:r w:rsidRPr="003717AC">
              <w:rPr>
                <w:bCs/>
                <w:iCs/>
                <w:sz w:val="36"/>
                <w:szCs w:val="36"/>
              </w:rPr>
              <w:t>Determine discount/hurdle rates.</w:t>
            </w:r>
          </w:p>
        </w:tc>
        <w:tc>
          <w:tcPr>
            <w:tcW w:w="1001" w:type="dxa"/>
            <w:noWrap/>
          </w:tcPr>
          <w:p w14:paraId="470724E1" w14:textId="77777777" w:rsidR="00803749" w:rsidRPr="00B60636" w:rsidRDefault="00803749" w:rsidP="00803749">
            <w:pPr>
              <w:jc w:val="center"/>
              <w:rPr>
                <w:b/>
                <w:bCs/>
                <w:iCs/>
              </w:rPr>
            </w:pPr>
          </w:p>
        </w:tc>
        <w:tc>
          <w:tcPr>
            <w:tcW w:w="1069" w:type="dxa"/>
          </w:tcPr>
          <w:p w14:paraId="781E99CF" w14:textId="77777777" w:rsidR="00803749" w:rsidRPr="00B60636" w:rsidRDefault="00803749" w:rsidP="00803749">
            <w:pPr>
              <w:jc w:val="center"/>
              <w:rPr>
                <w:b/>
                <w:bCs/>
                <w:iCs/>
              </w:rPr>
            </w:pPr>
          </w:p>
        </w:tc>
      </w:tr>
      <w:tr w:rsidR="00803749" w:rsidRPr="00C67E5D" w14:paraId="13B7D4F3" w14:textId="77777777" w:rsidTr="00803749">
        <w:trPr>
          <w:trHeight w:val="260"/>
        </w:trPr>
        <w:tc>
          <w:tcPr>
            <w:tcW w:w="8478" w:type="dxa"/>
            <w:noWrap/>
          </w:tcPr>
          <w:p w14:paraId="4E2489D2" w14:textId="77777777" w:rsidR="00803749" w:rsidRPr="003717AC" w:rsidRDefault="00803749" w:rsidP="00803749">
            <w:pPr>
              <w:rPr>
                <w:bCs/>
                <w:iCs/>
                <w:sz w:val="36"/>
                <w:szCs w:val="36"/>
              </w:rPr>
            </w:pPr>
            <w:r w:rsidRPr="003717AC">
              <w:rPr>
                <w:bCs/>
                <w:iCs/>
                <w:sz w:val="36"/>
                <w:szCs w:val="36"/>
              </w:rPr>
              <w:t>Evaluate investments in working capital and long-term assets.</w:t>
            </w:r>
          </w:p>
        </w:tc>
        <w:tc>
          <w:tcPr>
            <w:tcW w:w="1001" w:type="dxa"/>
            <w:noWrap/>
          </w:tcPr>
          <w:p w14:paraId="6AC81CD2" w14:textId="77777777" w:rsidR="00803749" w:rsidRPr="00B60636" w:rsidRDefault="00803749" w:rsidP="00803749">
            <w:pPr>
              <w:jc w:val="center"/>
              <w:rPr>
                <w:b/>
                <w:bCs/>
                <w:iCs/>
              </w:rPr>
            </w:pPr>
          </w:p>
        </w:tc>
        <w:tc>
          <w:tcPr>
            <w:tcW w:w="1069" w:type="dxa"/>
          </w:tcPr>
          <w:p w14:paraId="1A0694D6" w14:textId="77777777" w:rsidR="00803749" w:rsidRPr="00B60636" w:rsidRDefault="00803749" w:rsidP="00803749">
            <w:pPr>
              <w:jc w:val="center"/>
              <w:rPr>
                <w:b/>
                <w:bCs/>
                <w:iCs/>
              </w:rPr>
            </w:pPr>
          </w:p>
        </w:tc>
      </w:tr>
      <w:tr w:rsidR="00803749" w:rsidRPr="00C67E5D" w14:paraId="5E226801" w14:textId="77777777" w:rsidTr="00803749">
        <w:trPr>
          <w:trHeight w:val="260"/>
        </w:trPr>
        <w:tc>
          <w:tcPr>
            <w:tcW w:w="8478" w:type="dxa"/>
            <w:noWrap/>
          </w:tcPr>
          <w:p w14:paraId="0E711E16" w14:textId="77777777" w:rsidR="00803749" w:rsidRPr="003717AC" w:rsidRDefault="00803749" w:rsidP="00803749">
            <w:pPr>
              <w:rPr>
                <w:bCs/>
                <w:iCs/>
                <w:sz w:val="36"/>
                <w:szCs w:val="36"/>
              </w:rPr>
            </w:pPr>
            <w:r w:rsidRPr="003717AC">
              <w:rPr>
                <w:bCs/>
                <w:iCs/>
                <w:sz w:val="36"/>
                <w:szCs w:val="36"/>
              </w:rPr>
              <w:t>Apply valuation techniques, both DCF (discounted cash flow) and non-DCF.</w:t>
            </w:r>
          </w:p>
        </w:tc>
        <w:tc>
          <w:tcPr>
            <w:tcW w:w="1001" w:type="dxa"/>
            <w:noWrap/>
          </w:tcPr>
          <w:p w14:paraId="249BE120" w14:textId="77777777" w:rsidR="00803749" w:rsidRPr="00B60636" w:rsidRDefault="00803749" w:rsidP="00803749">
            <w:pPr>
              <w:jc w:val="center"/>
              <w:rPr>
                <w:b/>
                <w:bCs/>
                <w:iCs/>
              </w:rPr>
            </w:pPr>
          </w:p>
        </w:tc>
        <w:tc>
          <w:tcPr>
            <w:tcW w:w="1069" w:type="dxa"/>
          </w:tcPr>
          <w:p w14:paraId="0B1845C5" w14:textId="77777777" w:rsidR="00803749" w:rsidRPr="00B60636" w:rsidRDefault="00803749" w:rsidP="00803749">
            <w:pPr>
              <w:jc w:val="center"/>
              <w:rPr>
                <w:b/>
                <w:bCs/>
                <w:iCs/>
              </w:rPr>
            </w:pPr>
          </w:p>
        </w:tc>
      </w:tr>
      <w:tr w:rsidR="00803749" w:rsidRPr="00C67E5D" w14:paraId="545209A2" w14:textId="77777777" w:rsidTr="00803749">
        <w:trPr>
          <w:trHeight w:val="377"/>
        </w:trPr>
        <w:tc>
          <w:tcPr>
            <w:tcW w:w="8478" w:type="dxa"/>
            <w:noWrap/>
          </w:tcPr>
          <w:p w14:paraId="68FCDAB5" w14:textId="77777777" w:rsidR="00803749" w:rsidRPr="003717AC" w:rsidRDefault="00803749" w:rsidP="00803749">
            <w:pPr>
              <w:rPr>
                <w:bCs/>
                <w:iCs/>
                <w:sz w:val="36"/>
                <w:szCs w:val="36"/>
              </w:rPr>
            </w:pPr>
            <w:r w:rsidRPr="003717AC">
              <w:rPr>
                <w:bCs/>
                <w:iCs/>
                <w:sz w:val="36"/>
                <w:szCs w:val="36"/>
              </w:rPr>
              <w:t>Apply the contingent claims approach to valuation.</w:t>
            </w:r>
          </w:p>
        </w:tc>
        <w:tc>
          <w:tcPr>
            <w:tcW w:w="1001" w:type="dxa"/>
            <w:noWrap/>
          </w:tcPr>
          <w:p w14:paraId="475F449E" w14:textId="77777777" w:rsidR="00803749" w:rsidRPr="00B60636" w:rsidRDefault="00803749" w:rsidP="00803749">
            <w:pPr>
              <w:jc w:val="center"/>
              <w:rPr>
                <w:b/>
                <w:bCs/>
                <w:iCs/>
              </w:rPr>
            </w:pPr>
          </w:p>
        </w:tc>
        <w:tc>
          <w:tcPr>
            <w:tcW w:w="1069" w:type="dxa"/>
          </w:tcPr>
          <w:p w14:paraId="2CD84CB2" w14:textId="77777777" w:rsidR="00803749" w:rsidRPr="00B60636" w:rsidRDefault="00803749" w:rsidP="00803749">
            <w:pPr>
              <w:jc w:val="center"/>
              <w:rPr>
                <w:b/>
                <w:bCs/>
                <w:iCs/>
              </w:rPr>
            </w:pPr>
          </w:p>
        </w:tc>
      </w:tr>
      <w:tr w:rsidR="00803749" w:rsidRPr="00C67E5D" w14:paraId="45180F7D" w14:textId="77777777" w:rsidTr="00803749">
        <w:trPr>
          <w:trHeight w:val="365"/>
        </w:trPr>
        <w:tc>
          <w:tcPr>
            <w:tcW w:w="8478" w:type="dxa"/>
            <w:noWrap/>
          </w:tcPr>
          <w:p w14:paraId="6A48623E" w14:textId="77777777" w:rsidR="00803749" w:rsidRPr="003717AC" w:rsidRDefault="00803749" w:rsidP="00803749">
            <w:pPr>
              <w:rPr>
                <w:bCs/>
                <w:iCs/>
                <w:sz w:val="36"/>
                <w:szCs w:val="36"/>
              </w:rPr>
            </w:pPr>
            <w:r w:rsidRPr="003717AC">
              <w:rPr>
                <w:bCs/>
                <w:iCs/>
                <w:sz w:val="36"/>
                <w:szCs w:val="36"/>
              </w:rPr>
              <w:t>Design and analyze pro forma statements.</w:t>
            </w:r>
          </w:p>
        </w:tc>
        <w:tc>
          <w:tcPr>
            <w:tcW w:w="1001" w:type="dxa"/>
            <w:noWrap/>
          </w:tcPr>
          <w:p w14:paraId="75EDE5EC" w14:textId="77777777" w:rsidR="00803749" w:rsidRPr="00B60636" w:rsidRDefault="00803749" w:rsidP="00803749">
            <w:pPr>
              <w:jc w:val="center"/>
              <w:rPr>
                <w:b/>
                <w:bCs/>
                <w:iCs/>
              </w:rPr>
            </w:pPr>
          </w:p>
        </w:tc>
        <w:tc>
          <w:tcPr>
            <w:tcW w:w="1069" w:type="dxa"/>
          </w:tcPr>
          <w:p w14:paraId="429A832C" w14:textId="77777777" w:rsidR="00803749" w:rsidRPr="00B60636" w:rsidRDefault="00803749" w:rsidP="00803749">
            <w:pPr>
              <w:jc w:val="center"/>
              <w:rPr>
                <w:b/>
                <w:bCs/>
                <w:iCs/>
              </w:rPr>
            </w:pPr>
          </w:p>
        </w:tc>
      </w:tr>
      <w:tr w:rsidR="00803749" w:rsidRPr="00C67E5D" w14:paraId="18E7C96F" w14:textId="77777777" w:rsidTr="00803749">
        <w:trPr>
          <w:trHeight w:val="395"/>
        </w:trPr>
        <w:tc>
          <w:tcPr>
            <w:tcW w:w="8478" w:type="dxa"/>
            <w:noWrap/>
          </w:tcPr>
          <w:p w14:paraId="47171523" w14:textId="77777777" w:rsidR="00803749" w:rsidRPr="003717AC" w:rsidRDefault="00803749" w:rsidP="00803749">
            <w:pPr>
              <w:rPr>
                <w:bCs/>
                <w:iCs/>
                <w:sz w:val="36"/>
                <w:szCs w:val="36"/>
              </w:rPr>
            </w:pPr>
            <w:r w:rsidRPr="003717AC">
              <w:rPr>
                <w:bCs/>
                <w:iCs/>
                <w:sz w:val="36"/>
                <w:szCs w:val="36"/>
              </w:rPr>
              <w:t>Determine composition of short and long term funds.</w:t>
            </w:r>
          </w:p>
        </w:tc>
        <w:tc>
          <w:tcPr>
            <w:tcW w:w="1001" w:type="dxa"/>
            <w:noWrap/>
          </w:tcPr>
          <w:p w14:paraId="5B92BAAD" w14:textId="77777777" w:rsidR="00803749" w:rsidRPr="00B60636" w:rsidRDefault="00803749" w:rsidP="00803749">
            <w:pPr>
              <w:jc w:val="center"/>
              <w:rPr>
                <w:b/>
                <w:bCs/>
                <w:iCs/>
              </w:rPr>
            </w:pPr>
          </w:p>
        </w:tc>
        <w:tc>
          <w:tcPr>
            <w:tcW w:w="1069" w:type="dxa"/>
          </w:tcPr>
          <w:p w14:paraId="27106C52" w14:textId="77777777" w:rsidR="00803749" w:rsidRPr="00B60636" w:rsidRDefault="00803749" w:rsidP="00803749">
            <w:pPr>
              <w:jc w:val="center"/>
              <w:rPr>
                <w:b/>
                <w:bCs/>
                <w:iCs/>
              </w:rPr>
            </w:pPr>
          </w:p>
        </w:tc>
      </w:tr>
      <w:tr w:rsidR="00803749" w:rsidRPr="00C67E5D" w14:paraId="7A977F62" w14:textId="77777777" w:rsidTr="00803749">
        <w:trPr>
          <w:trHeight w:val="305"/>
        </w:trPr>
        <w:tc>
          <w:tcPr>
            <w:tcW w:w="8478" w:type="dxa"/>
            <w:noWrap/>
          </w:tcPr>
          <w:p w14:paraId="0F2759E7" w14:textId="77777777" w:rsidR="00803749" w:rsidRPr="003717AC" w:rsidRDefault="00803749" w:rsidP="00803749">
            <w:pPr>
              <w:rPr>
                <w:bCs/>
                <w:iCs/>
                <w:sz w:val="36"/>
                <w:szCs w:val="36"/>
              </w:rPr>
            </w:pPr>
            <w:r w:rsidRPr="003717AC">
              <w:rPr>
                <w:bCs/>
                <w:iCs/>
                <w:sz w:val="36"/>
                <w:szCs w:val="36"/>
              </w:rPr>
              <w:t>Identify and evaluate financing choices.</w:t>
            </w:r>
          </w:p>
        </w:tc>
        <w:tc>
          <w:tcPr>
            <w:tcW w:w="1001" w:type="dxa"/>
            <w:noWrap/>
          </w:tcPr>
          <w:p w14:paraId="73B0BDB2" w14:textId="77777777" w:rsidR="00803749" w:rsidRPr="00B60636" w:rsidRDefault="00803749" w:rsidP="00803749">
            <w:pPr>
              <w:jc w:val="center"/>
              <w:rPr>
                <w:b/>
                <w:bCs/>
                <w:iCs/>
              </w:rPr>
            </w:pPr>
          </w:p>
        </w:tc>
        <w:tc>
          <w:tcPr>
            <w:tcW w:w="1069" w:type="dxa"/>
          </w:tcPr>
          <w:p w14:paraId="5E6A3A24" w14:textId="77777777" w:rsidR="00803749" w:rsidRPr="00B60636" w:rsidRDefault="00803749" w:rsidP="00803749">
            <w:pPr>
              <w:jc w:val="center"/>
              <w:rPr>
                <w:b/>
                <w:bCs/>
                <w:iCs/>
              </w:rPr>
            </w:pPr>
          </w:p>
        </w:tc>
      </w:tr>
      <w:tr w:rsidR="00803749" w:rsidRPr="00C67E5D" w14:paraId="43FE3D01" w14:textId="77777777" w:rsidTr="00803749">
        <w:trPr>
          <w:trHeight w:val="350"/>
        </w:trPr>
        <w:tc>
          <w:tcPr>
            <w:tcW w:w="8478" w:type="dxa"/>
            <w:noWrap/>
          </w:tcPr>
          <w:p w14:paraId="20FEBE93" w14:textId="77777777" w:rsidR="00803749" w:rsidRPr="003717AC" w:rsidRDefault="00803749" w:rsidP="00803749">
            <w:pPr>
              <w:rPr>
                <w:bCs/>
                <w:iCs/>
                <w:sz w:val="36"/>
                <w:szCs w:val="36"/>
              </w:rPr>
            </w:pPr>
            <w:r w:rsidRPr="003717AC">
              <w:rPr>
                <w:bCs/>
                <w:iCs/>
                <w:sz w:val="36"/>
                <w:szCs w:val="36"/>
              </w:rPr>
              <w:t>Apply models for pricing stocks, bonds, and derivative instruments.</w:t>
            </w:r>
          </w:p>
        </w:tc>
        <w:tc>
          <w:tcPr>
            <w:tcW w:w="1001" w:type="dxa"/>
            <w:noWrap/>
          </w:tcPr>
          <w:p w14:paraId="67E1DD80" w14:textId="77777777" w:rsidR="00803749" w:rsidRPr="00B60636" w:rsidRDefault="00803749" w:rsidP="00803749">
            <w:pPr>
              <w:jc w:val="center"/>
              <w:rPr>
                <w:b/>
                <w:bCs/>
                <w:iCs/>
              </w:rPr>
            </w:pPr>
          </w:p>
        </w:tc>
        <w:tc>
          <w:tcPr>
            <w:tcW w:w="1069" w:type="dxa"/>
          </w:tcPr>
          <w:p w14:paraId="5EFB5802" w14:textId="77777777" w:rsidR="00803749" w:rsidRPr="00B60636" w:rsidRDefault="00803749" w:rsidP="00803749">
            <w:pPr>
              <w:jc w:val="center"/>
              <w:rPr>
                <w:b/>
                <w:bCs/>
                <w:iCs/>
              </w:rPr>
            </w:pPr>
          </w:p>
        </w:tc>
      </w:tr>
      <w:tr w:rsidR="00803749" w:rsidRPr="00C67E5D" w14:paraId="508A402C" w14:textId="77777777" w:rsidTr="00803749">
        <w:trPr>
          <w:trHeight w:val="350"/>
        </w:trPr>
        <w:tc>
          <w:tcPr>
            <w:tcW w:w="8478" w:type="dxa"/>
            <w:noWrap/>
          </w:tcPr>
          <w:p w14:paraId="0B7717E6" w14:textId="77777777" w:rsidR="00803749" w:rsidRPr="003717AC" w:rsidRDefault="00803749" w:rsidP="00803749">
            <w:pPr>
              <w:rPr>
                <w:bCs/>
                <w:iCs/>
                <w:sz w:val="36"/>
                <w:szCs w:val="36"/>
              </w:rPr>
            </w:pPr>
            <w:r w:rsidRPr="003717AC">
              <w:rPr>
                <w:bCs/>
                <w:iCs/>
                <w:sz w:val="36"/>
                <w:szCs w:val="36"/>
              </w:rPr>
              <w:t>Construct optimal portfolios.</w:t>
            </w:r>
          </w:p>
        </w:tc>
        <w:tc>
          <w:tcPr>
            <w:tcW w:w="1001" w:type="dxa"/>
            <w:noWrap/>
          </w:tcPr>
          <w:p w14:paraId="72DC7F6F" w14:textId="77777777" w:rsidR="00803749" w:rsidRPr="00B60636" w:rsidRDefault="00803749" w:rsidP="00803749">
            <w:pPr>
              <w:jc w:val="center"/>
              <w:rPr>
                <w:b/>
                <w:bCs/>
                <w:iCs/>
              </w:rPr>
            </w:pPr>
          </w:p>
        </w:tc>
        <w:tc>
          <w:tcPr>
            <w:tcW w:w="1069" w:type="dxa"/>
          </w:tcPr>
          <w:p w14:paraId="1011BDF6" w14:textId="77777777" w:rsidR="00803749" w:rsidRPr="00B60636" w:rsidRDefault="00803749" w:rsidP="00803749">
            <w:pPr>
              <w:jc w:val="center"/>
              <w:rPr>
                <w:b/>
                <w:bCs/>
                <w:iCs/>
              </w:rPr>
            </w:pPr>
          </w:p>
        </w:tc>
      </w:tr>
      <w:tr w:rsidR="00803749" w:rsidRPr="00C67E5D" w14:paraId="4DC2C561" w14:textId="77777777" w:rsidTr="00803749">
        <w:trPr>
          <w:trHeight w:val="350"/>
        </w:trPr>
        <w:tc>
          <w:tcPr>
            <w:tcW w:w="8478" w:type="dxa"/>
            <w:noWrap/>
          </w:tcPr>
          <w:p w14:paraId="62CCB8B7" w14:textId="77777777" w:rsidR="00803749" w:rsidRPr="003717AC" w:rsidRDefault="00803749" w:rsidP="00803749">
            <w:pPr>
              <w:rPr>
                <w:bCs/>
                <w:iCs/>
                <w:sz w:val="36"/>
                <w:szCs w:val="36"/>
              </w:rPr>
            </w:pPr>
            <w:r w:rsidRPr="003717AC">
              <w:rPr>
                <w:bCs/>
                <w:iCs/>
                <w:sz w:val="36"/>
                <w:szCs w:val="36"/>
              </w:rPr>
              <w:t>Design hedging strategies to manage market risks (e.g. currency, commodity, economic, and political).</w:t>
            </w:r>
          </w:p>
        </w:tc>
        <w:tc>
          <w:tcPr>
            <w:tcW w:w="1001" w:type="dxa"/>
            <w:noWrap/>
          </w:tcPr>
          <w:p w14:paraId="62D7316D" w14:textId="77777777" w:rsidR="00803749" w:rsidRPr="00B60636" w:rsidRDefault="00803749" w:rsidP="00803749">
            <w:pPr>
              <w:jc w:val="center"/>
              <w:rPr>
                <w:b/>
                <w:bCs/>
                <w:iCs/>
              </w:rPr>
            </w:pPr>
          </w:p>
        </w:tc>
        <w:tc>
          <w:tcPr>
            <w:tcW w:w="1069" w:type="dxa"/>
          </w:tcPr>
          <w:p w14:paraId="7490007B" w14:textId="77777777" w:rsidR="00803749" w:rsidRPr="00B60636" w:rsidRDefault="00803749" w:rsidP="00803749">
            <w:pPr>
              <w:jc w:val="center"/>
              <w:rPr>
                <w:b/>
                <w:bCs/>
                <w:iCs/>
              </w:rPr>
            </w:pPr>
          </w:p>
        </w:tc>
      </w:tr>
      <w:tr w:rsidR="00803749" w:rsidRPr="00C67E5D" w14:paraId="6473C535" w14:textId="77777777" w:rsidTr="00803749">
        <w:trPr>
          <w:trHeight w:val="350"/>
        </w:trPr>
        <w:tc>
          <w:tcPr>
            <w:tcW w:w="8478" w:type="dxa"/>
            <w:noWrap/>
          </w:tcPr>
          <w:p w14:paraId="441B0B4E" w14:textId="77777777" w:rsidR="00803749" w:rsidRPr="003717AC" w:rsidRDefault="00803749" w:rsidP="00803749">
            <w:pPr>
              <w:rPr>
                <w:bCs/>
                <w:iCs/>
                <w:sz w:val="36"/>
                <w:szCs w:val="36"/>
              </w:rPr>
            </w:pPr>
            <w:r w:rsidRPr="003717AC">
              <w:rPr>
                <w:bCs/>
                <w:iCs/>
                <w:sz w:val="36"/>
                <w:szCs w:val="36"/>
              </w:rPr>
              <w:t>Perform competitive and comparative analyses of industries.</w:t>
            </w:r>
          </w:p>
        </w:tc>
        <w:tc>
          <w:tcPr>
            <w:tcW w:w="1001" w:type="dxa"/>
            <w:noWrap/>
          </w:tcPr>
          <w:p w14:paraId="5C8D8CD8" w14:textId="77777777" w:rsidR="00803749" w:rsidRPr="00B60636" w:rsidRDefault="00803749" w:rsidP="00803749">
            <w:pPr>
              <w:jc w:val="center"/>
              <w:rPr>
                <w:b/>
                <w:bCs/>
                <w:iCs/>
              </w:rPr>
            </w:pPr>
          </w:p>
        </w:tc>
        <w:tc>
          <w:tcPr>
            <w:tcW w:w="1069" w:type="dxa"/>
          </w:tcPr>
          <w:p w14:paraId="3D612EAF" w14:textId="77777777" w:rsidR="00803749" w:rsidRPr="00B60636" w:rsidRDefault="00803749" w:rsidP="00803749">
            <w:pPr>
              <w:jc w:val="center"/>
              <w:rPr>
                <w:b/>
                <w:bCs/>
                <w:iCs/>
              </w:rPr>
            </w:pPr>
          </w:p>
        </w:tc>
      </w:tr>
      <w:tr w:rsidR="00803749" w:rsidRPr="00C67E5D" w14:paraId="08DCEA30" w14:textId="77777777" w:rsidTr="00803749">
        <w:trPr>
          <w:trHeight w:val="302"/>
        </w:trPr>
        <w:tc>
          <w:tcPr>
            <w:tcW w:w="8478" w:type="dxa"/>
            <w:noWrap/>
          </w:tcPr>
          <w:p w14:paraId="48616A55" w14:textId="77777777" w:rsidR="00803749" w:rsidRPr="003717AC" w:rsidRDefault="00803749" w:rsidP="00803749">
            <w:pPr>
              <w:rPr>
                <w:bCs/>
                <w:iCs/>
                <w:sz w:val="36"/>
                <w:szCs w:val="36"/>
              </w:rPr>
            </w:pPr>
            <w:r w:rsidRPr="003717AC">
              <w:rPr>
                <w:bCs/>
                <w:iCs/>
                <w:sz w:val="36"/>
                <w:szCs w:val="36"/>
              </w:rPr>
              <w:t xml:space="preserve">Describe global capital markets. </w:t>
            </w:r>
          </w:p>
        </w:tc>
        <w:tc>
          <w:tcPr>
            <w:tcW w:w="1001" w:type="dxa"/>
            <w:noWrap/>
          </w:tcPr>
          <w:p w14:paraId="5C3914D2" w14:textId="77777777" w:rsidR="00803749" w:rsidRPr="00B60636" w:rsidRDefault="00803749" w:rsidP="00803749">
            <w:pPr>
              <w:jc w:val="center"/>
              <w:rPr>
                <w:b/>
                <w:bCs/>
                <w:iCs/>
              </w:rPr>
            </w:pPr>
          </w:p>
        </w:tc>
        <w:tc>
          <w:tcPr>
            <w:tcW w:w="1069" w:type="dxa"/>
          </w:tcPr>
          <w:p w14:paraId="14E0A33E" w14:textId="77777777" w:rsidR="00803749" w:rsidRPr="00B60636" w:rsidRDefault="00803749" w:rsidP="00803749">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957DD"/>
    <w:rsid w:val="00113E08"/>
    <w:rsid w:val="001B6A52"/>
    <w:rsid w:val="002064E8"/>
    <w:rsid w:val="0047024F"/>
    <w:rsid w:val="0051791D"/>
    <w:rsid w:val="005A751B"/>
    <w:rsid w:val="005E2B08"/>
    <w:rsid w:val="00616801"/>
    <w:rsid w:val="00714EE2"/>
    <w:rsid w:val="00803749"/>
    <w:rsid w:val="00901ECD"/>
    <w:rsid w:val="009255A2"/>
    <w:rsid w:val="00967365"/>
    <w:rsid w:val="0097249B"/>
    <w:rsid w:val="00A37CE4"/>
    <w:rsid w:val="00A8129A"/>
    <w:rsid w:val="00AD573B"/>
    <w:rsid w:val="00D445A9"/>
    <w:rsid w:val="00E131D4"/>
    <w:rsid w:val="00EF05C4"/>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aweb.sdsu.edu/assets/files/assessment/goals/2012/BSBA-Fin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5</cp:revision>
  <cp:lastPrinted>2013-02-28T21:17:00Z</cp:lastPrinted>
  <dcterms:created xsi:type="dcterms:W3CDTF">2014-09-22T17:42:00Z</dcterms:created>
  <dcterms:modified xsi:type="dcterms:W3CDTF">2014-09-22T17:55:00Z</dcterms:modified>
</cp:coreProperties>
</file>